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202</w:t>
      </w:r>
      <w:r w:rsidR="00490E1C">
        <w:rPr>
          <w:b/>
          <w:sz w:val="28"/>
          <w:szCs w:val="28"/>
        </w:rPr>
        <w:t>4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B7712C" w:rsidRPr="00B7712C" w:rsidRDefault="00B7712C" w:rsidP="00B7712C">
      <w:pPr>
        <w:pStyle w:val="a5"/>
        <w:jc w:val="center"/>
        <w:rPr>
          <w:bCs/>
          <w:sz w:val="28"/>
          <w:szCs w:val="28"/>
        </w:rPr>
      </w:pPr>
      <w:r w:rsidRPr="00B7712C">
        <w:rPr>
          <w:sz w:val="28"/>
          <w:szCs w:val="28"/>
        </w:rPr>
        <w:t>Уважаемые жители Гигантовского сельского поселения!</w:t>
      </w: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  <w:r w:rsidRPr="00B7712C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Гигантовского сельского поселения за первое полугодие 2024 года.</w:t>
      </w: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</w:p>
    <w:p w:rsidR="00B7712C" w:rsidRPr="00B7712C" w:rsidRDefault="00B7712C" w:rsidP="00B7712C">
      <w:pPr>
        <w:pStyle w:val="a5"/>
        <w:ind w:firstLine="708"/>
        <w:jc w:val="both"/>
        <w:rPr>
          <w:bCs/>
          <w:sz w:val="28"/>
          <w:szCs w:val="28"/>
        </w:rPr>
      </w:pPr>
      <w:r w:rsidRPr="00B7712C">
        <w:rPr>
          <w:sz w:val="28"/>
          <w:szCs w:val="28"/>
        </w:rPr>
        <w:t> Перед тем, как начать отчет, мне бы хотелось выразить слова благодарности всем тем, кто оказывал и продолжает оказывать помощь Администрации  Гигантовского сельского поселения в решении различных вопросов.</w:t>
      </w: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  <w:r w:rsidRPr="00B7712C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</w:p>
    <w:p w:rsidR="00B7712C" w:rsidRPr="00B7712C" w:rsidRDefault="00B7712C" w:rsidP="00B7712C">
      <w:pPr>
        <w:pStyle w:val="a5"/>
        <w:ind w:firstLine="708"/>
        <w:jc w:val="both"/>
        <w:rPr>
          <w:bCs/>
          <w:sz w:val="28"/>
          <w:szCs w:val="28"/>
        </w:rPr>
      </w:pPr>
      <w:r w:rsidRPr="00B7712C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B7712C" w:rsidRPr="00B7712C" w:rsidRDefault="00B7712C" w:rsidP="00B7712C">
      <w:pPr>
        <w:pStyle w:val="a5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        </w:t>
      </w:r>
    </w:p>
    <w:p w:rsidR="00B7712C" w:rsidRPr="00B7712C" w:rsidRDefault="00B7712C" w:rsidP="00B7712C">
      <w:pPr>
        <w:pStyle w:val="a5"/>
        <w:jc w:val="both"/>
        <w:rPr>
          <w:sz w:val="28"/>
          <w:szCs w:val="28"/>
        </w:rPr>
      </w:pP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  <w:r w:rsidRPr="00B7712C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B7712C" w:rsidRPr="00B7712C" w:rsidRDefault="00B7712C" w:rsidP="00B7712C">
      <w:pPr>
        <w:jc w:val="both"/>
        <w:rPr>
          <w:b/>
          <w:sz w:val="28"/>
          <w:szCs w:val="28"/>
        </w:rPr>
      </w:pPr>
    </w:p>
    <w:p w:rsidR="00B7712C" w:rsidRPr="00B7712C" w:rsidRDefault="00B7712C" w:rsidP="00B7712C">
      <w:pPr>
        <w:jc w:val="center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БЮДЖЕТ</w:t>
      </w: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sz w:val="28"/>
          <w:szCs w:val="28"/>
        </w:rPr>
        <w:t>Бюджет  Гигантовского сельского поселения на 2024 год состоит из доходной и расходных частей бюджета.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Исполнение бюджета  Гигантовского сельского поселения Сальского района  в 1  полугодии 2024 года по доходам   составило – 21,5 млн. рублей, что составляет 38,4 % от годового плана,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из них удельный вес собственных доходов составляет  - 45,9 %.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Налоговые и неналоговые доходы бюджета поселения в 1  полугодии 2024 года исполнены в сумме 9,9 млн. рублей, из них</w:t>
      </w:r>
    </w:p>
    <w:p w:rsidR="00B7712C" w:rsidRPr="00B7712C" w:rsidRDefault="00B7712C" w:rsidP="00B7712C">
      <w:pPr>
        <w:ind w:firstLine="709"/>
        <w:jc w:val="both"/>
        <w:rPr>
          <w:color w:val="000000"/>
          <w:sz w:val="28"/>
          <w:szCs w:val="28"/>
        </w:rPr>
      </w:pPr>
      <w:r w:rsidRPr="00B7712C">
        <w:rPr>
          <w:color w:val="000000"/>
          <w:sz w:val="28"/>
          <w:szCs w:val="28"/>
        </w:rPr>
        <w:t xml:space="preserve">наибольший удельный вес занимают: налог на доходы физических лиц 5,5 млн. руб., единый сельскохозяйственный налог – 1,7 млн. рублей; налог на имущество и земельный налог – 2,4 млн. рублей. </w:t>
      </w:r>
    </w:p>
    <w:p w:rsidR="00B7712C" w:rsidRPr="00B7712C" w:rsidRDefault="00B7712C" w:rsidP="00B7712C">
      <w:pPr>
        <w:ind w:firstLine="708"/>
        <w:jc w:val="both"/>
        <w:rPr>
          <w:color w:val="000000"/>
          <w:sz w:val="28"/>
          <w:szCs w:val="28"/>
        </w:rPr>
      </w:pPr>
      <w:r w:rsidRPr="00B7712C">
        <w:rPr>
          <w:color w:val="000000"/>
          <w:sz w:val="28"/>
          <w:szCs w:val="28"/>
        </w:rPr>
        <w:t>Объем безвозмездных поступлений в бюджет Гигантовского сельского поселения Сальского района на 2024 запланирован в размере 29,5 млн. руб. из них на конец  1  полугодия 2024 года поступило 11,6 млн. руб., средства были освоены в полном объеме.</w:t>
      </w: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sz w:val="28"/>
          <w:szCs w:val="28"/>
        </w:rPr>
        <w:t xml:space="preserve">В состав безвозмездных поступлений входят: дотация на выравнивание бюджетной обеспеченности, субвенции сельским поселениям на осуществление функций по первичному воинскому учету, субсидии на </w:t>
      </w:r>
      <w:r w:rsidRPr="00B7712C">
        <w:rPr>
          <w:sz w:val="28"/>
          <w:szCs w:val="28"/>
        </w:rPr>
        <w:lastRenderedPageBreak/>
        <w:t>возмещение</w:t>
      </w:r>
      <w:r w:rsidRPr="00B7712C">
        <w:rPr>
          <w:color w:val="000000"/>
          <w:sz w:val="28"/>
          <w:szCs w:val="28"/>
        </w:rPr>
        <w:t xml:space="preserve"> предприятиям жилищно-коммунального хозяйства части платы граждан за коммунальные услуги, межбюджетные трансферты </w:t>
      </w:r>
      <w:r w:rsidRPr="00B7712C">
        <w:rPr>
          <w:bCs/>
          <w:color w:val="000000"/>
          <w:sz w:val="28"/>
          <w:szCs w:val="28"/>
        </w:rPr>
        <w:t xml:space="preserve">на содержание автомобильных дорог общего пользования местного значения.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расходов бюджета поселения на 2024 год занимают разделы: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- жилищно-коммунальное хозяйство -  31,2 %,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культура, и физическая культура и спорт – 28,1 %,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- национальная экономика  - 12,7 %,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widowControl w:val="0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 </w:t>
      </w:r>
      <w:r w:rsidRPr="00B7712C">
        <w:rPr>
          <w:sz w:val="28"/>
          <w:szCs w:val="28"/>
        </w:rPr>
        <w:tab/>
        <w:t xml:space="preserve">В целом бюджет поселения предусматривает девять целевых  программ («Доступная  среда на 2019-2030 годы», </w:t>
      </w:r>
      <w:r w:rsidRPr="00B7712C">
        <w:rPr>
          <w:rStyle w:val="af1"/>
          <w:sz w:val="28"/>
          <w:szCs w:val="28"/>
        </w:rPr>
        <w:t xml:space="preserve">«Развитие культуры», </w:t>
      </w:r>
      <w:r w:rsidRPr="00B7712C">
        <w:rPr>
          <w:color w:val="000000"/>
          <w:sz w:val="28"/>
          <w:szCs w:val="28"/>
        </w:rPr>
        <w:t>«</w:t>
      </w:r>
      <w:r w:rsidRPr="00B7712C">
        <w:rPr>
          <w:sz w:val="28"/>
          <w:szCs w:val="28"/>
        </w:rPr>
        <w:t>Муниципальная политика</w:t>
      </w:r>
      <w:r w:rsidRPr="00B7712C">
        <w:rPr>
          <w:color w:val="000000"/>
          <w:sz w:val="28"/>
          <w:szCs w:val="28"/>
        </w:rPr>
        <w:t xml:space="preserve">», </w:t>
      </w:r>
      <w:r w:rsidRPr="00B7712C">
        <w:rPr>
          <w:bCs/>
          <w:sz w:val="28"/>
          <w:szCs w:val="28"/>
        </w:rPr>
        <w:t xml:space="preserve">««Обеспечение пожарной </w:t>
      </w:r>
      <w:r w:rsidRPr="00B7712C">
        <w:rPr>
          <w:sz w:val="28"/>
          <w:szCs w:val="28"/>
        </w:rPr>
        <w:t xml:space="preserve">безопасности и безопасности людей на водных объектах на территории  Гигантовского </w:t>
      </w:r>
      <w:r w:rsidRPr="00B7712C">
        <w:rPr>
          <w:bCs/>
          <w:sz w:val="28"/>
          <w:szCs w:val="28"/>
        </w:rPr>
        <w:t>сельского поселения»,</w:t>
      </w:r>
      <w:r w:rsidRPr="00B7712C">
        <w:rPr>
          <w:color w:val="000000"/>
          <w:sz w:val="28"/>
          <w:szCs w:val="28"/>
        </w:rPr>
        <w:t xml:space="preserve"> «</w:t>
      </w:r>
      <w:r w:rsidRPr="00B7712C">
        <w:rPr>
          <w:sz w:val="28"/>
          <w:szCs w:val="28"/>
        </w:rPr>
        <w:t>Обеспечение общественного порядка и профилактика правонарушений</w:t>
      </w:r>
      <w:r w:rsidRPr="00B7712C">
        <w:rPr>
          <w:color w:val="000000"/>
          <w:sz w:val="28"/>
          <w:szCs w:val="28"/>
        </w:rPr>
        <w:t xml:space="preserve">», </w:t>
      </w:r>
      <w:r w:rsidRPr="00B7712C">
        <w:rPr>
          <w:bCs/>
          <w:spacing w:val="-4"/>
          <w:kern w:val="2"/>
          <w:sz w:val="28"/>
          <w:szCs w:val="28"/>
        </w:rPr>
        <w:t>«Управление муниципальными финансами и создание условий для эффективного</w:t>
      </w:r>
      <w:r w:rsidRPr="00B7712C">
        <w:rPr>
          <w:bCs/>
          <w:kern w:val="2"/>
          <w:sz w:val="28"/>
          <w:szCs w:val="28"/>
        </w:rPr>
        <w:t xml:space="preserve"> управления муниципальными финансами», </w:t>
      </w:r>
      <w:r w:rsidRPr="00B7712C">
        <w:rPr>
          <w:sz w:val="28"/>
          <w:szCs w:val="28"/>
        </w:rPr>
        <w:t>«</w:t>
      </w:r>
      <w:r w:rsidRPr="00B7712C">
        <w:rPr>
          <w:spacing w:val="6"/>
          <w:sz w:val="28"/>
          <w:szCs w:val="28"/>
        </w:rPr>
        <w:t>Развитие физической культуры и спорта</w:t>
      </w:r>
      <w:r w:rsidRPr="00B7712C">
        <w:rPr>
          <w:sz w:val="28"/>
          <w:szCs w:val="28"/>
        </w:rPr>
        <w:t>», «</w:t>
      </w:r>
      <w:r w:rsidRPr="00B7712C">
        <w:rPr>
          <w:kern w:val="1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B7712C">
        <w:rPr>
          <w:sz w:val="28"/>
          <w:szCs w:val="28"/>
        </w:rPr>
        <w:t xml:space="preserve">»).  </w:t>
      </w:r>
    </w:p>
    <w:p w:rsidR="00B7712C" w:rsidRPr="00B7712C" w:rsidRDefault="00B7712C" w:rsidP="00B7712C">
      <w:pPr>
        <w:widowControl w:val="0"/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 в 1  полугодии 2024 года на них направлено 16,3 млн. руб., всего на текущий год предусмотрено 35,7 млн. руб. или 59,6% всех расходов бюджета Гигантовского сельского поселения.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По итогам в 1  полугодии 2024 года муниципальный долг Гигантовского сельского поселения   отсутствует.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center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ЖКХ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На финансирование раздела жилищно-коммунальное хозяйство в 1  полугодии 2024 года направлено 9,1 млн. рублей, всего на 2024 год запланировано 18,7 млн. руб. Почти все расходы ЖКХ приходятся на благоустройство поселения.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color w:val="000000"/>
          <w:sz w:val="28"/>
          <w:szCs w:val="28"/>
        </w:rPr>
        <w:t xml:space="preserve">- на </w:t>
      </w:r>
      <w:r w:rsidRPr="00B7712C">
        <w:rPr>
          <w:sz w:val="28"/>
          <w:szCs w:val="28"/>
        </w:rPr>
        <w:t>содержание и ремонт уличного освещения запланировано 6,5 млн. руб., с начала года израсходовано -  2,7 млн. руб.,</w:t>
      </w:r>
    </w:p>
    <w:p w:rsidR="00B7712C" w:rsidRPr="00B7712C" w:rsidRDefault="00B7712C" w:rsidP="00B7712C">
      <w:pPr>
        <w:ind w:firstLine="709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на благоустройство поселения запланировано 10,7 млн. руб., израсходовано – 6,3 млн. руб., в т.ч.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lastRenderedPageBreak/>
        <w:t>- чистка снега – 507,3 тыс. руб.;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кошение травы – 301,0 тыс. руб.;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видеонаблюдение – 149,9 тыс. руб.;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тротуар по ул. Красная п. Гигант – 499,9 тыс. руб.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приобретение газонокосилок, кусторезов, триммеров – 91,6 тыс. руб.;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расходы на содержание парка (установка лавочек, качелей; прополка, полив, посадка растений, обрезка деревьев, уборка мусора в парке) – 1578,5 тыс. руб.;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приобретение и установка бункеров накопителей – 860,2  тыс. руб., проведены работы по обустройству контейнерных площадок под крупно габаритные отходы на территории поселения, также приобретены бункера-накопители ТКО в количестве 6 штук. Установлены бункеры - накопители  в п. Гигант по ул. Красная, ул. Ленина, угол ул. Красная и ул. Учебная, угол ул. Учебная и ул. Кирова, ул. Куйбышева.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приобретение двух детских игровых комплексов и качелей – 591,0 тыс. руб., детские площадки установлены в п. Гигант по ул. Северная 40 В и в п. Широкие Нивы.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скамейки уличные – 150,0 тыс. руб.;</w:t>
      </w:r>
    </w:p>
    <w:p w:rsidR="00B7712C" w:rsidRPr="00B7712C" w:rsidRDefault="00B7712C" w:rsidP="00B7712C">
      <w:pPr>
        <w:ind w:firstLine="708"/>
        <w:jc w:val="both"/>
        <w:rPr>
          <w:color w:val="FF0000"/>
          <w:sz w:val="28"/>
          <w:szCs w:val="28"/>
        </w:rPr>
      </w:pPr>
      <w:r w:rsidRPr="00B7712C">
        <w:rPr>
          <w:sz w:val="28"/>
          <w:szCs w:val="28"/>
        </w:rPr>
        <w:t>- отлов бездомных животных – 200,0 тыс. руб.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уборка крупногабаритного мусора – 573,1 тыс. руб.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ликвидация свалок - 100,0 тыс. руб.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прочистка системы водопонижения – 600,0 тыс. руб.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противоклещевая обработка – 97,5 тыс. руб.</w:t>
      </w:r>
    </w:p>
    <w:p w:rsidR="00B7712C" w:rsidRPr="00B7712C" w:rsidRDefault="00B7712C" w:rsidP="00B7712C">
      <w:pPr>
        <w:ind w:firstLine="708"/>
        <w:jc w:val="both"/>
        <w:rPr>
          <w:i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в 1  полугодии 2024 года направлено 7,1 млн. руб. что составляет 42,3% от годовых плановых назначений 2024  года. </w:t>
      </w: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bCs/>
          <w:color w:val="000000"/>
          <w:sz w:val="28"/>
          <w:szCs w:val="28"/>
        </w:rPr>
        <w:t>На содержание автомобильных дорог общего пользования местного значения и искусственных сооружений на них выделены межбюджетные трансферты  в сумме 7,6 млн. руб., из них в 1 полугодии 2024 года освоено 1,4  млн. руб., из них</w:t>
      </w: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bCs/>
          <w:color w:val="000000"/>
          <w:sz w:val="28"/>
          <w:szCs w:val="28"/>
        </w:rPr>
        <w:t>Расходы по зимнему содержанию автомобильных дорог составили 383,7 тыс.руб.,</w:t>
      </w: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bCs/>
          <w:color w:val="000000"/>
          <w:sz w:val="28"/>
          <w:szCs w:val="28"/>
        </w:rPr>
        <w:t xml:space="preserve"> На приобретение и установку дорожных знаков по ул. Вокзальная и ул. Учебная  израсходовано 599,0 тыс.руб.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color w:val="000000"/>
          <w:sz w:val="28"/>
          <w:szCs w:val="28"/>
        </w:rPr>
        <w:t xml:space="preserve">Проведены работы по нанесению дорожной </w:t>
      </w:r>
      <w:r w:rsidRPr="00B7712C">
        <w:rPr>
          <w:sz w:val="28"/>
          <w:szCs w:val="28"/>
        </w:rPr>
        <w:t xml:space="preserve">разметки (осевая линия разметки, разметки пешеходных неровностей) в п. Гигант по ул. Ленина, Красная, Горького, Учебная.) в сумме 288,5 тыс. руб.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bCs/>
          <w:sz w:val="28"/>
          <w:szCs w:val="28"/>
        </w:rPr>
        <w:t>Проведен ямочный ремонт внутрипоселковых дорог по ул. Ленина, ул. Учебная в п. Гигант, в п. Правоюловский по ул. Ангельева и по ул. Дорожная, в п. Сеятель Северный по ул. Школьная, ул. Садовая, в п. Приречный по ул. Черемушки, ул. Школьная, ул. Молодежная.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lastRenderedPageBreak/>
        <w:t xml:space="preserve"> Проведены работы по техническому обслуживанию уличного освещения на территории Гигантовского сельского поселения: проведена замена 56  светильника по ул. Гигантовская, ул. Береговая, ул. Гагарина, ул. Комсомольская, ул. Заречная, ул. Трактовая, ул. пушкина, ул. Калинина, ул. Пионерская, ул. Социалистическая в п. Гигант, в п. Широкие Нивы по ул. Береговая, ул. Ленина. Выполнены работы по восстановлению уличного освещения в п. Загорье, заменены  7 светильников.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В п. Гигант по ул. Трактовая  проведены  электромонтажные работы по техническому обслуживанию уличного освещения в сумме 1250,0 тыс. руб.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Административная комиссия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административных правонарушениях». 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 xml:space="preserve">За 1 полугодие 2024 год составлено 7 протоколов об административных правонарушениях, в том числе 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>- нарушение правил содержания сельскохозяйственных животных и птицы (ст. 4.1 ч. 1) – 5 протоколов;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>- нарушение порядка действий по предотвращению выжигания сухой растительности (ст. 4.5 ч. 1) – 2 протокола;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rFonts w:eastAsia="SimSun"/>
          <w:b/>
          <w:sz w:val="28"/>
          <w:szCs w:val="28"/>
        </w:rPr>
      </w:pPr>
      <w:r w:rsidRPr="00B7712C">
        <w:rPr>
          <w:rFonts w:eastAsia="SimSun"/>
          <w:b/>
          <w:sz w:val="28"/>
          <w:szCs w:val="28"/>
        </w:rPr>
        <w:t>Сельское хозяйство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В рамках государственной программы «Комплексного развитие сельских территорий» реализуются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проживание в сельской местности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работа в сфере агропромышленного комплекса, социальной сфере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признание нуждающимися в улучшении жилищных условий.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В текущем периоде 2024 году по программе «Обеспечение доступным и комфортным жильем граждан Российской Федерации» субсидии на получение жилья получила семья  Одхамова И.И.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По программе «Устойчивое развитие  сельских территорий»-  Рыкова Н.Ю.</w:t>
      </w: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Пожарная безопасность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</w:t>
      </w:r>
      <w:r w:rsidRPr="00B7712C">
        <w:rPr>
          <w:sz w:val="28"/>
          <w:szCs w:val="28"/>
        </w:rPr>
        <w:lastRenderedPageBreak/>
        <w:t>остатков, стерни, а также бытового мусора. Нарушение этих требований влечет  наложение административного штрафа на граждан.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Проведены сходы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B7712C" w:rsidRPr="00B7712C" w:rsidRDefault="00B7712C" w:rsidP="00B7712C">
      <w:pPr>
        <w:ind w:firstLine="708"/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 xml:space="preserve">Все предпринятые меры в полном объеме не предотвратили пожары. Так, в 1 полугодии 2024 года  на территории Гигантовского сельского поселения произошло: </w:t>
      </w:r>
    </w:p>
    <w:p w:rsidR="00B7712C" w:rsidRPr="00B7712C" w:rsidRDefault="00B7712C" w:rsidP="00B7712C">
      <w:pPr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>- 18 возгораний сухой травы</w:t>
      </w:r>
    </w:p>
    <w:p w:rsidR="00B7712C" w:rsidRPr="00B7712C" w:rsidRDefault="00B7712C" w:rsidP="00B7712C">
      <w:pPr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>- 20 возгораний мусора</w:t>
      </w:r>
    </w:p>
    <w:p w:rsidR="00B7712C" w:rsidRPr="00B7712C" w:rsidRDefault="00B7712C" w:rsidP="00B7712C">
      <w:pPr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>- 2 возгорание камыша</w:t>
      </w:r>
    </w:p>
    <w:p w:rsidR="00B7712C" w:rsidRPr="00B7712C" w:rsidRDefault="00B7712C" w:rsidP="00B7712C">
      <w:pPr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>- 9 возгорание хозяйственной постройки</w:t>
      </w:r>
    </w:p>
    <w:p w:rsidR="00B7712C" w:rsidRPr="00B7712C" w:rsidRDefault="00B7712C" w:rsidP="00B7712C">
      <w:pPr>
        <w:ind w:firstLine="708"/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>Для борьбы с огнем создана добровольная пожарная дружина.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ab/>
        <w:t>В первом полугодии 2024 проведены работы по дискованию земельных участков на сумму 100,0 тыс. руб., закупка пожарного инвентаря - приобретение ранца и пожарного гидранта 20,0 тыс. руб., баннеры тематические 20,0 тыс. руб.</w:t>
      </w: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ОБРАЩЕНИЯ ГРАЖДАН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B7712C">
        <w:rPr>
          <w:spacing w:val="20"/>
          <w:sz w:val="28"/>
          <w:szCs w:val="28"/>
        </w:rPr>
        <w:t xml:space="preserve"> </w:t>
      </w:r>
      <w:r w:rsidRPr="00B7712C">
        <w:rPr>
          <w:sz w:val="28"/>
          <w:szCs w:val="28"/>
        </w:rPr>
        <w:t xml:space="preserve">В 1 полугодии 2024года  в администрацию Гигантовского сельского поселения поступило </w:t>
      </w:r>
      <w:r w:rsidRPr="00B7712C">
        <w:rPr>
          <w:rStyle w:val="a9"/>
          <w:sz w:val="28"/>
          <w:szCs w:val="28"/>
        </w:rPr>
        <w:t xml:space="preserve">25 </w:t>
      </w:r>
      <w:r w:rsidRPr="00B7712C">
        <w:rPr>
          <w:sz w:val="28"/>
          <w:szCs w:val="28"/>
        </w:rPr>
        <w:t>обращений граждан по различным вопросам. По всем поступившим обращениям были даны ответы или  разъяснения: решено положительно - 20 обращений, по 5 обращениям даны разъяснения. Основные вопросы, с которыми граждане обращались:</w:t>
      </w:r>
    </w:p>
    <w:p w:rsidR="00B7712C" w:rsidRPr="00B7712C" w:rsidRDefault="00B7712C" w:rsidP="00B7712C">
      <w:pPr>
        <w:jc w:val="both"/>
        <w:rPr>
          <w:iCs/>
          <w:sz w:val="28"/>
          <w:szCs w:val="28"/>
        </w:rPr>
      </w:pPr>
      <w:r w:rsidRPr="00B7712C">
        <w:rPr>
          <w:sz w:val="28"/>
          <w:szCs w:val="28"/>
        </w:rPr>
        <w:t xml:space="preserve">- </w:t>
      </w:r>
      <w:r w:rsidRPr="00B7712C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свалок, отлов безнадзорных собак, освещение) – 17 обращений.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В 2020 году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 «Сделаем вместе».</w:t>
      </w:r>
    </w:p>
    <w:p w:rsidR="00B7712C" w:rsidRPr="00B7712C" w:rsidRDefault="00B7712C" w:rsidP="00B7712C">
      <w:pPr>
        <w:pStyle w:val="ConsCell"/>
        <w:ind w:right="0"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         </w:t>
      </w:r>
    </w:p>
    <w:p w:rsidR="00B7712C" w:rsidRPr="00B7712C" w:rsidRDefault="00B7712C" w:rsidP="00B7712C">
      <w:pPr>
        <w:pStyle w:val="ConsCell"/>
        <w:ind w:right="0"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pStyle w:val="ConsCell"/>
        <w:ind w:right="0"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 В 2024 году победителем  губернаторского проекта общественных инициатив стал проект:</w:t>
      </w:r>
    </w:p>
    <w:p w:rsidR="00B7712C" w:rsidRPr="00B7712C" w:rsidRDefault="00B7712C" w:rsidP="00B771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Благоустройство общественного пространства на стадионе имени Серебрякова в п. Гигант – строительство площадки ГТО;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Проект будет  реализован в 2025 году. 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pStyle w:val="a5"/>
        <w:ind w:firstLine="708"/>
        <w:jc w:val="both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УБОРКА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lastRenderedPageBreak/>
        <w:t>На текущий момент средняя урожайность по поселению по зернобобовым – 44 ц/га, по зерновым культурам  49,4 ц/га.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Лидеры: 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ООО «Псарев и сын»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ИП Глава КФХ Герин А.А.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ООО «Сеятель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ИП Глава КФХ Сухарев В.И.</w:t>
      </w:r>
    </w:p>
    <w:p w:rsidR="00B7712C" w:rsidRPr="00B7712C" w:rsidRDefault="00B7712C" w:rsidP="00B7712C">
      <w:pPr>
        <w:pStyle w:val="a6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В заключение, хочу сказать спасибо нашим депутатам, работникам социальной сферы, активным жителям за участие в жизни поселения. </w:t>
      </w:r>
    </w:p>
    <w:p w:rsidR="00B7712C" w:rsidRPr="00B7712C" w:rsidRDefault="00B7712C" w:rsidP="00B7712C">
      <w:pPr>
        <w:pStyle w:val="a6"/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B7712C" w:rsidRPr="00B7712C" w:rsidRDefault="00B7712C" w:rsidP="00B7712C">
      <w:pPr>
        <w:ind w:firstLine="851"/>
        <w:jc w:val="both"/>
        <w:rPr>
          <w:b/>
          <w:sz w:val="28"/>
          <w:szCs w:val="28"/>
        </w:rPr>
      </w:pPr>
      <w:r w:rsidRPr="00B7712C">
        <w:rPr>
          <w:sz w:val="28"/>
          <w:szCs w:val="28"/>
        </w:rPr>
        <w:t>Спасибо за внимание!</w:t>
      </w:r>
    </w:p>
    <w:p w:rsidR="00DE3524" w:rsidRPr="00B7712C" w:rsidRDefault="00DE3524" w:rsidP="00B7712C">
      <w:pPr>
        <w:pStyle w:val="a5"/>
        <w:jc w:val="both"/>
        <w:rPr>
          <w:sz w:val="28"/>
          <w:szCs w:val="28"/>
        </w:rPr>
      </w:pPr>
    </w:p>
    <w:sectPr w:rsidR="00DE3524" w:rsidRPr="00B7712C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EF" w:rsidRDefault="000006EF" w:rsidP="001E4A39">
      <w:r>
        <w:separator/>
      </w:r>
    </w:p>
  </w:endnote>
  <w:endnote w:type="continuationSeparator" w:id="1">
    <w:p w:rsidR="000006EF" w:rsidRDefault="000006EF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EF" w:rsidRDefault="000006EF" w:rsidP="001E4A39">
      <w:r>
        <w:separator/>
      </w:r>
    </w:p>
  </w:footnote>
  <w:footnote w:type="continuationSeparator" w:id="1">
    <w:p w:rsidR="000006EF" w:rsidRDefault="000006EF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06EF"/>
    <w:rsid w:val="0000255D"/>
    <w:rsid w:val="00007E78"/>
    <w:rsid w:val="00012A4E"/>
    <w:rsid w:val="00013ABC"/>
    <w:rsid w:val="00015EC3"/>
    <w:rsid w:val="00016425"/>
    <w:rsid w:val="0002066C"/>
    <w:rsid w:val="00027751"/>
    <w:rsid w:val="0003457A"/>
    <w:rsid w:val="0004007F"/>
    <w:rsid w:val="0004708D"/>
    <w:rsid w:val="00061023"/>
    <w:rsid w:val="00064DBE"/>
    <w:rsid w:val="00077B3F"/>
    <w:rsid w:val="00086D08"/>
    <w:rsid w:val="00090253"/>
    <w:rsid w:val="00095BD0"/>
    <w:rsid w:val="00095D91"/>
    <w:rsid w:val="00097DBD"/>
    <w:rsid w:val="000A05A4"/>
    <w:rsid w:val="000B31B4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5603D"/>
    <w:rsid w:val="00160361"/>
    <w:rsid w:val="00164F3D"/>
    <w:rsid w:val="00166A51"/>
    <w:rsid w:val="001675FC"/>
    <w:rsid w:val="00167E97"/>
    <w:rsid w:val="001735A8"/>
    <w:rsid w:val="0018455F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0350D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568F4"/>
    <w:rsid w:val="0026120D"/>
    <w:rsid w:val="00265EB0"/>
    <w:rsid w:val="002705B8"/>
    <w:rsid w:val="00272675"/>
    <w:rsid w:val="00272AA0"/>
    <w:rsid w:val="00275025"/>
    <w:rsid w:val="002760A6"/>
    <w:rsid w:val="0028567D"/>
    <w:rsid w:val="00285A97"/>
    <w:rsid w:val="002923BE"/>
    <w:rsid w:val="00296F7F"/>
    <w:rsid w:val="002A0A90"/>
    <w:rsid w:val="002A0C97"/>
    <w:rsid w:val="002A4B7B"/>
    <w:rsid w:val="002B15D0"/>
    <w:rsid w:val="002B359D"/>
    <w:rsid w:val="002B3BF5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3242F"/>
    <w:rsid w:val="00340F9E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7FFB"/>
    <w:rsid w:val="00466FA3"/>
    <w:rsid w:val="00485AD1"/>
    <w:rsid w:val="00487010"/>
    <w:rsid w:val="00490E1C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0489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43DD"/>
    <w:rsid w:val="005578A3"/>
    <w:rsid w:val="00567F33"/>
    <w:rsid w:val="0057085C"/>
    <w:rsid w:val="005754AA"/>
    <w:rsid w:val="00584774"/>
    <w:rsid w:val="00585428"/>
    <w:rsid w:val="0059460A"/>
    <w:rsid w:val="00595D81"/>
    <w:rsid w:val="00597561"/>
    <w:rsid w:val="005A161A"/>
    <w:rsid w:val="005B2BD1"/>
    <w:rsid w:val="005B79D4"/>
    <w:rsid w:val="005C4214"/>
    <w:rsid w:val="005D0CB4"/>
    <w:rsid w:val="005D19A2"/>
    <w:rsid w:val="005F736A"/>
    <w:rsid w:val="00612CAE"/>
    <w:rsid w:val="00612F43"/>
    <w:rsid w:val="006153DE"/>
    <w:rsid w:val="006206BF"/>
    <w:rsid w:val="00634013"/>
    <w:rsid w:val="0063634D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76604"/>
    <w:rsid w:val="0078570A"/>
    <w:rsid w:val="00790910"/>
    <w:rsid w:val="00794407"/>
    <w:rsid w:val="0079597F"/>
    <w:rsid w:val="007A1EC0"/>
    <w:rsid w:val="007A326D"/>
    <w:rsid w:val="007A48CE"/>
    <w:rsid w:val="007A5E8B"/>
    <w:rsid w:val="007A6FD7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4B81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72F9A"/>
    <w:rsid w:val="00884087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4B01"/>
    <w:rsid w:val="008F68AB"/>
    <w:rsid w:val="009044D1"/>
    <w:rsid w:val="009049EC"/>
    <w:rsid w:val="009078AC"/>
    <w:rsid w:val="00913670"/>
    <w:rsid w:val="00921CAB"/>
    <w:rsid w:val="009242F4"/>
    <w:rsid w:val="009308BA"/>
    <w:rsid w:val="009318F1"/>
    <w:rsid w:val="00932BD5"/>
    <w:rsid w:val="00934109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3171"/>
    <w:rsid w:val="00A0392F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6FBD"/>
    <w:rsid w:val="00B6442A"/>
    <w:rsid w:val="00B6770C"/>
    <w:rsid w:val="00B749A7"/>
    <w:rsid w:val="00B7712C"/>
    <w:rsid w:val="00B80AD7"/>
    <w:rsid w:val="00B86963"/>
    <w:rsid w:val="00BA10D0"/>
    <w:rsid w:val="00BA175A"/>
    <w:rsid w:val="00BA69BB"/>
    <w:rsid w:val="00BB42B3"/>
    <w:rsid w:val="00BC137B"/>
    <w:rsid w:val="00BC372B"/>
    <w:rsid w:val="00BC4D13"/>
    <w:rsid w:val="00BC61DF"/>
    <w:rsid w:val="00BE14CB"/>
    <w:rsid w:val="00BE6BF7"/>
    <w:rsid w:val="00BF28FB"/>
    <w:rsid w:val="00C00AFA"/>
    <w:rsid w:val="00C05D50"/>
    <w:rsid w:val="00C243AE"/>
    <w:rsid w:val="00C24571"/>
    <w:rsid w:val="00C26850"/>
    <w:rsid w:val="00C4129B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2C12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043EF"/>
    <w:rsid w:val="00E1157E"/>
    <w:rsid w:val="00E15B9C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337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209"/>
    <w:rsid w:val="00F6057A"/>
    <w:rsid w:val="00F62588"/>
    <w:rsid w:val="00F65F48"/>
    <w:rsid w:val="00F71028"/>
    <w:rsid w:val="00F8408A"/>
    <w:rsid w:val="00F914F9"/>
    <w:rsid w:val="00F939A3"/>
    <w:rsid w:val="00FA0A32"/>
    <w:rsid w:val="00FA756C"/>
    <w:rsid w:val="00FB3390"/>
    <w:rsid w:val="00FC1A75"/>
    <w:rsid w:val="00FC459C"/>
    <w:rsid w:val="00FD7758"/>
    <w:rsid w:val="00FE18AD"/>
    <w:rsid w:val="00FF017A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2023-07-05T07:08:00Z</cp:lastPrinted>
  <dcterms:created xsi:type="dcterms:W3CDTF">2024-07-08T06:40:00Z</dcterms:created>
  <dcterms:modified xsi:type="dcterms:W3CDTF">2024-07-18T09:49:00Z</dcterms:modified>
</cp:coreProperties>
</file>